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E6584" w14:textId="77777777" w:rsidR="0098417F" w:rsidRDefault="00000000">
      <w:pPr>
        <w:pBdr>
          <w:bottom w:val="single" w:sz="14" w:space="1" w:color="2F75B5"/>
        </w:pBdr>
        <w:spacing w:before="200" w:after="160"/>
      </w:pPr>
      <w:r>
        <w:rPr>
          <w:rFonts w:eastAsia="Arial"/>
          <w:b/>
          <w:color w:val="2F75B5"/>
          <w:sz w:val="18"/>
        </w:rPr>
        <w:t>2026 TARGETED CONSULTATION</w:t>
      </w:r>
    </w:p>
    <w:p w14:paraId="10495678" w14:textId="77777777" w:rsidR="0098417F" w:rsidRDefault="00000000">
      <w:pPr>
        <w:pStyle w:val="Titre"/>
      </w:pPr>
      <w:r>
        <w:rPr>
          <w:rFonts w:ascii="Arial" w:eastAsia="Arial" w:hAnsi="Arial"/>
        </w:rPr>
        <w:t>State of Intellectual Property</w:t>
      </w:r>
      <w:r>
        <w:rPr>
          <w:rFonts w:ascii="Arial" w:eastAsia="Arial" w:hAnsi="Arial"/>
        </w:rPr>
        <w:br/>
        <w:t>in Third Countries</w:t>
      </w:r>
    </w:p>
    <w:p w14:paraId="6886E114" w14:textId="77777777" w:rsidR="0098417F" w:rsidRDefault="00000000">
      <w:pPr>
        <w:pStyle w:val="Sous-titre"/>
      </w:pPr>
      <w:r>
        <w:rPr>
          <w:rFonts w:ascii="Arial" w:eastAsia="Arial" w:hAnsi="Arial"/>
          <w:sz w:val="26"/>
        </w:rPr>
        <w:t>Patent enforcement, SEP/FRAND disputes and cross-border judicial remedies</w:t>
      </w:r>
    </w:p>
    <w:tbl>
      <w:tblPr>
        <w:tblW w:w="0" w:type="auto"/>
        <w:tblLayout w:type="fixed"/>
        <w:tblLook w:val="04A0" w:firstRow="1" w:lastRow="0" w:firstColumn="1" w:lastColumn="0" w:noHBand="0" w:noVBand="1"/>
      </w:tblPr>
      <w:tblGrid>
        <w:gridCol w:w="4876"/>
        <w:gridCol w:w="4876"/>
      </w:tblGrid>
      <w:tr w:rsidR="0098417F" w14:paraId="7829CC82" w14:textId="77777777">
        <w:trPr>
          <w:cantSplit/>
        </w:trPr>
        <w:tc>
          <w:tcPr>
            <w:tcW w:w="4876" w:type="dxa"/>
            <w:tcBorders>
              <w:top w:val="single" w:sz="3" w:space="0" w:color="AFC6DC"/>
              <w:left w:val="single" w:sz="3" w:space="0" w:color="AFC6DC"/>
              <w:bottom w:val="single" w:sz="3" w:space="0" w:color="AFC6DC"/>
              <w:right w:val="single" w:sz="3" w:space="0" w:color="AFC6DC"/>
            </w:tcBorders>
            <w:shd w:val="clear" w:color="auto" w:fill="17365D"/>
            <w:tcMar>
              <w:top w:w="115" w:type="dxa"/>
              <w:left w:w="150" w:type="dxa"/>
              <w:bottom w:w="115" w:type="dxa"/>
              <w:right w:w="150" w:type="dxa"/>
            </w:tcMar>
            <w:vAlign w:val="center"/>
          </w:tcPr>
          <w:p w14:paraId="1975B1E8" w14:textId="77777777" w:rsidR="0098417F" w:rsidRDefault="00000000">
            <w:pPr>
              <w:spacing w:after="0"/>
            </w:pPr>
            <w:r>
              <w:rPr>
                <w:rFonts w:eastAsia="Arial"/>
                <w:b/>
                <w:color w:val="FFFFFF"/>
                <w:sz w:val="16"/>
              </w:rPr>
              <w:t>SUBMITTED BY</w:t>
            </w:r>
          </w:p>
        </w:tc>
        <w:tc>
          <w:tcPr>
            <w:tcW w:w="4876" w:type="dxa"/>
            <w:tcBorders>
              <w:top w:val="single" w:sz="3" w:space="0" w:color="AFC6DC"/>
              <w:left w:val="single" w:sz="3" w:space="0" w:color="AFC6DC"/>
              <w:bottom w:val="single" w:sz="3" w:space="0" w:color="AFC6DC"/>
              <w:right w:val="single" w:sz="3" w:space="0" w:color="AFC6DC"/>
            </w:tcBorders>
            <w:shd w:val="clear" w:color="auto" w:fill="F5F9FC"/>
            <w:tcMar>
              <w:top w:w="115" w:type="dxa"/>
              <w:left w:w="150" w:type="dxa"/>
              <w:bottom w:w="115" w:type="dxa"/>
              <w:right w:w="150" w:type="dxa"/>
            </w:tcMar>
            <w:vAlign w:val="center"/>
          </w:tcPr>
          <w:p w14:paraId="5336CB80" w14:textId="77777777" w:rsidR="0098417F" w:rsidRDefault="00000000">
            <w:pPr>
              <w:spacing w:after="0"/>
            </w:pPr>
            <w:r>
              <w:rPr>
                <w:rFonts w:eastAsia="Arial"/>
                <w:sz w:val="18"/>
              </w:rPr>
              <w:t>Matthieu Dhenne</w:t>
            </w:r>
          </w:p>
        </w:tc>
      </w:tr>
      <w:tr w:rsidR="0098417F" w14:paraId="1703963D" w14:textId="77777777">
        <w:trPr>
          <w:cantSplit/>
        </w:trPr>
        <w:tc>
          <w:tcPr>
            <w:tcW w:w="4876" w:type="dxa"/>
            <w:tcBorders>
              <w:top w:val="single" w:sz="3" w:space="0" w:color="AFC6DC"/>
              <w:left w:val="single" w:sz="3" w:space="0" w:color="AFC6DC"/>
              <w:bottom w:val="single" w:sz="3" w:space="0" w:color="AFC6DC"/>
              <w:right w:val="single" w:sz="3" w:space="0" w:color="AFC6DC"/>
            </w:tcBorders>
            <w:shd w:val="clear" w:color="auto" w:fill="17365D"/>
            <w:tcMar>
              <w:top w:w="115" w:type="dxa"/>
              <w:left w:w="150" w:type="dxa"/>
              <w:bottom w:w="115" w:type="dxa"/>
              <w:right w:w="150" w:type="dxa"/>
            </w:tcMar>
            <w:vAlign w:val="center"/>
          </w:tcPr>
          <w:p w14:paraId="76977D5A" w14:textId="77777777" w:rsidR="0098417F" w:rsidRDefault="00000000">
            <w:pPr>
              <w:spacing w:after="0"/>
            </w:pPr>
            <w:r>
              <w:rPr>
                <w:rFonts w:eastAsia="Arial"/>
                <w:b/>
                <w:color w:val="FFFFFF"/>
                <w:sz w:val="16"/>
              </w:rPr>
              <w:t>CAPACITY</w:t>
            </w:r>
          </w:p>
        </w:tc>
        <w:tc>
          <w:tcPr>
            <w:tcW w:w="4876" w:type="dxa"/>
            <w:tcBorders>
              <w:top w:val="single" w:sz="3" w:space="0" w:color="AFC6DC"/>
              <w:left w:val="single" w:sz="3" w:space="0" w:color="AFC6DC"/>
              <w:bottom w:val="single" w:sz="3" w:space="0" w:color="AFC6DC"/>
              <w:right w:val="single" w:sz="3" w:space="0" w:color="AFC6DC"/>
            </w:tcBorders>
            <w:shd w:val="clear" w:color="auto" w:fill="FFFFFF"/>
            <w:tcMar>
              <w:top w:w="115" w:type="dxa"/>
              <w:left w:w="150" w:type="dxa"/>
              <w:bottom w:w="115" w:type="dxa"/>
              <w:right w:w="150" w:type="dxa"/>
            </w:tcMar>
            <w:vAlign w:val="center"/>
          </w:tcPr>
          <w:p w14:paraId="2CB0D5B7" w14:textId="77777777" w:rsidR="0098417F" w:rsidRDefault="00000000">
            <w:pPr>
              <w:spacing w:after="0"/>
            </w:pPr>
            <w:r>
              <w:rPr>
                <w:rFonts w:eastAsia="Arial"/>
                <w:sz w:val="18"/>
              </w:rPr>
              <w:t>EU citizen; French and European patent litigator and academic, acting strictly in a personal capacity</w:t>
            </w:r>
          </w:p>
        </w:tc>
      </w:tr>
      <w:tr w:rsidR="0098417F" w14:paraId="7496220B" w14:textId="77777777">
        <w:trPr>
          <w:cantSplit/>
        </w:trPr>
        <w:tc>
          <w:tcPr>
            <w:tcW w:w="4876" w:type="dxa"/>
            <w:tcBorders>
              <w:top w:val="single" w:sz="3" w:space="0" w:color="AFC6DC"/>
              <w:left w:val="single" w:sz="3" w:space="0" w:color="AFC6DC"/>
              <w:bottom w:val="single" w:sz="3" w:space="0" w:color="AFC6DC"/>
              <w:right w:val="single" w:sz="3" w:space="0" w:color="AFC6DC"/>
            </w:tcBorders>
            <w:shd w:val="clear" w:color="auto" w:fill="17365D"/>
            <w:tcMar>
              <w:top w:w="115" w:type="dxa"/>
              <w:left w:w="150" w:type="dxa"/>
              <w:bottom w:w="115" w:type="dxa"/>
              <w:right w:w="150" w:type="dxa"/>
            </w:tcMar>
            <w:vAlign w:val="center"/>
          </w:tcPr>
          <w:p w14:paraId="7FA763F2" w14:textId="77777777" w:rsidR="0098417F" w:rsidRDefault="00000000">
            <w:pPr>
              <w:spacing w:after="0"/>
            </w:pPr>
            <w:r>
              <w:rPr>
                <w:rFonts w:eastAsia="Arial"/>
                <w:b/>
                <w:color w:val="FFFFFF"/>
                <w:sz w:val="16"/>
              </w:rPr>
              <w:t>PRIMARY COUNTRY ADDRESSED</w:t>
            </w:r>
          </w:p>
        </w:tc>
        <w:tc>
          <w:tcPr>
            <w:tcW w:w="4876" w:type="dxa"/>
            <w:tcBorders>
              <w:top w:val="single" w:sz="3" w:space="0" w:color="AFC6DC"/>
              <w:left w:val="single" w:sz="3" w:space="0" w:color="AFC6DC"/>
              <w:bottom w:val="single" w:sz="3" w:space="0" w:color="AFC6DC"/>
              <w:right w:val="single" w:sz="3" w:space="0" w:color="AFC6DC"/>
            </w:tcBorders>
            <w:shd w:val="clear" w:color="auto" w:fill="F5F9FC"/>
            <w:tcMar>
              <w:top w:w="115" w:type="dxa"/>
              <w:left w:w="150" w:type="dxa"/>
              <w:bottom w:w="115" w:type="dxa"/>
              <w:right w:w="150" w:type="dxa"/>
            </w:tcMar>
            <w:vAlign w:val="center"/>
          </w:tcPr>
          <w:p w14:paraId="53B2272F" w14:textId="77777777" w:rsidR="0098417F" w:rsidRDefault="00000000">
            <w:pPr>
              <w:spacing w:after="0"/>
            </w:pPr>
            <w:r>
              <w:rPr>
                <w:rFonts w:eastAsia="Arial"/>
                <w:sz w:val="18"/>
              </w:rPr>
              <w:t>People’s Republic of China</w:t>
            </w:r>
          </w:p>
        </w:tc>
      </w:tr>
      <w:tr w:rsidR="0098417F" w14:paraId="0D8C2C3E" w14:textId="77777777">
        <w:trPr>
          <w:cantSplit/>
        </w:trPr>
        <w:tc>
          <w:tcPr>
            <w:tcW w:w="4876" w:type="dxa"/>
            <w:tcBorders>
              <w:top w:val="single" w:sz="3" w:space="0" w:color="AFC6DC"/>
              <w:left w:val="single" w:sz="3" w:space="0" w:color="AFC6DC"/>
              <w:bottom w:val="single" w:sz="3" w:space="0" w:color="AFC6DC"/>
              <w:right w:val="single" w:sz="3" w:space="0" w:color="AFC6DC"/>
            </w:tcBorders>
            <w:shd w:val="clear" w:color="auto" w:fill="17365D"/>
            <w:tcMar>
              <w:top w:w="115" w:type="dxa"/>
              <w:left w:w="150" w:type="dxa"/>
              <w:bottom w:w="115" w:type="dxa"/>
              <w:right w:w="150" w:type="dxa"/>
            </w:tcMar>
            <w:vAlign w:val="center"/>
          </w:tcPr>
          <w:p w14:paraId="3EA4F662" w14:textId="77777777" w:rsidR="0098417F" w:rsidRDefault="00000000">
            <w:pPr>
              <w:spacing w:after="0"/>
            </w:pPr>
            <w:r>
              <w:rPr>
                <w:rFonts w:eastAsia="Arial"/>
                <w:b/>
                <w:color w:val="FFFFFF"/>
                <w:sz w:val="16"/>
              </w:rPr>
              <w:t>PRINCIPAL SUBJECT</w:t>
            </w:r>
          </w:p>
        </w:tc>
        <w:tc>
          <w:tcPr>
            <w:tcW w:w="4876" w:type="dxa"/>
            <w:tcBorders>
              <w:top w:val="single" w:sz="3" w:space="0" w:color="AFC6DC"/>
              <w:left w:val="single" w:sz="3" w:space="0" w:color="AFC6DC"/>
              <w:bottom w:val="single" w:sz="3" w:space="0" w:color="AFC6DC"/>
              <w:right w:val="single" w:sz="3" w:space="0" w:color="AFC6DC"/>
            </w:tcBorders>
            <w:shd w:val="clear" w:color="auto" w:fill="FFFFFF"/>
            <w:tcMar>
              <w:top w:w="115" w:type="dxa"/>
              <w:left w:w="150" w:type="dxa"/>
              <w:bottom w:w="115" w:type="dxa"/>
              <w:right w:w="150" w:type="dxa"/>
            </w:tcMar>
            <w:vAlign w:val="center"/>
          </w:tcPr>
          <w:p w14:paraId="598CE724" w14:textId="77777777" w:rsidR="0098417F" w:rsidRDefault="00000000">
            <w:pPr>
              <w:spacing w:after="0"/>
            </w:pPr>
            <w:r>
              <w:rPr>
                <w:rFonts w:eastAsia="Arial"/>
                <w:sz w:val="18"/>
              </w:rPr>
              <w:t>Standard-essential patents (SEPs), FRAND licensing, injunctions, global licensing terms and judicial transparency</w:t>
            </w:r>
          </w:p>
        </w:tc>
      </w:tr>
      <w:tr w:rsidR="0098417F" w14:paraId="11985B7B" w14:textId="77777777">
        <w:trPr>
          <w:cantSplit/>
        </w:trPr>
        <w:tc>
          <w:tcPr>
            <w:tcW w:w="4876" w:type="dxa"/>
            <w:tcBorders>
              <w:top w:val="single" w:sz="3" w:space="0" w:color="AFC6DC"/>
              <w:left w:val="single" w:sz="3" w:space="0" w:color="AFC6DC"/>
              <w:bottom w:val="single" w:sz="3" w:space="0" w:color="AFC6DC"/>
              <w:right w:val="single" w:sz="3" w:space="0" w:color="AFC6DC"/>
            </w:tcBorders>
            <w:shd w:val="clear" w:color="auto" w:fill="17365D"/>
            <w:tcMar>
              <w:top w:w="115" w:type="dxa"/>
              <w:left w:w="150" w:type="dxa"/>
              <w:bottom w:w="115" w:type="dxa"/>
              <w:right w:w="150" w:type="dxa"/>
            </w:tcMar>
            <w:vAlign w:val="center"/>
          </w:tcPr>
          <w:p w14:paraId="558A0A08" w14:textId="77777777" w:rsidR="0098417F" w:rsidRDefault="00000000">
            <w:pPr>
              <w:spacing w:after="0"/>
            </w:pPr>
            <w:r>
              <w:rPr>
                <w:rFonts w:eastAsia="Arial"/>
                <w:b/>
                <w:color w:val="FFFFFF"/>
                <w:sz w:val="16"/>
              </w:rPr>
              <w:t>DATE</w:t>
            </w:r>
          </w:p>
        </w:tc>
        <w:tc>
          <w:tcPr>
            <w:tcW w:w="4876" w:type="dxa"/>
            <w:tcBorders>
              <w:top w:val="single" w:sz="3" w:space="0" w:color="AFC6DC"/>
              <w:left w:val="single" w:sz="3" w:space="0" w:color="AFC6DC"/>
              <w:bottom w:val="single" w:sz="3" w:space="0" w:color="AFC6DC"/>
              <w:right w:val="single" w:sz="3" w:space="0" w:color="AFC6DC"/>
            </w:tcBorders>
            <w:shd w:val="clear" w:color="auto" w:fill="F5F9FC"/>
            <w:tcMar>
              <w:top w:w="115" w:type="dxa"/>
              <w:left w:w="150" w:type="dxa"/>
              <w:bottom w:w="115" w:type="dxa"/>
              <w:right w:w="150" w:type="dxa"/>
            </w:tcMar>
            <w:vAlign w:val="center"/>
          </w:tcPr>
          <w:p w14:paraId="2BAFC7FF" w14:textId="77777777" w:rsidR="0098417F" w:rsidRDefault="00000000">
            <w:pPr>
              <w:spacing w:after="0"/>
            </w:pPr>
            <w:r>
              <w:rPr>
                <w:rFonts w:eastAsia="Arial"/>
                <w:sz w:val="18"/>
              </w:rPr>
              <w:t>28 August 2026</w:t>
            </w:r>
          </w:p>
        </w:tc>
      </w:tr>
    </w:tbl>
    <w:p w14:paraId="1CFA28FF" w14:textId="77777777" w:rsidR="0098417F" w:rsidRDefault="0098417F">
      <w:pPr>
        <w:spacing w:after="0"/>
      </w:pPr>
    </w:p>
    <w:tbl>
      <w:tblPr>
        <w:tblW w:w="0" w:type="auto"/>
        <w:jc w:val="center"/>
        <w:tblLook w:val="04A0" w:firstRow="1" w:lastRow="0" w:firstColumn="1" w:lastColumn="0" w:noHBand="0" w:noVBand="1"/>
      </w:tblPr>
      <w:tblGrid>
        <w:gridCol w:w="9731"/>
      </w:tblGrid>
      <w:tr w:rsidR="0098417F" w14:paraId="31823CF3" w14:textId="77777777">
        <w:trPr>
          <w:cantSplit/>
          <w:jc w:val="center"/>
        </w:trPr>
        <w:tc>
          <w:tcPr>
            <w:tcW w:w="9752" w:type="dxa"/>
            <w:tcBorders>
              <w:top w:val="single" w:sz="6" w:space="0" w:color="2F75B5"/>
              <w:left w:val="single" w:sz="10" w:space="0" w:color="2F75B5"/>
              <w:bottom w:val="single" w:sz="6" w:space="0" w:color="2F75B5"/>
              <w:right w:val="single" w:sz="6" w:space="0" w:color="2F75B5"/>
            </w:tcBorders>
            <w:shd w:val="clear" w:color="auto" w:fill="EAF2F8"/>
            <w:tcMar>
              <w:top w:w="150" w:type="dxa"/>
              <w:left w:w="210" w:type="dxa"/>
              <w:bottom w:w="150" w:type="dxa"/>
              <w:right w:w="210" w:type="dxa"/>
            </w:tcMar>
            <w:vAlign w:val="center"/>
          </w:tcPr>
          <w:p w14:paraId="440371AA" w14:textId="77777777" w:rsidR="0098417F" w:rsidRDefault="00000000">
            <w:pPr>
              <w:keepNext/>
              <w:spacing w:after="60"/>
            </w:pPr>
            <w:r>
              <w:rPr>
                <w:rFonts w:eastAsia="Arial"/>
                <w:b/>
                <w:color w:val="17365D"/>
              </w:rPr>
              <w:t>Personal-capacity statement</w:t>
            </w:r>
          </w:p>
          <w:p w14:paraId="532C54FB" w14:textId="77777777" w:rsidR="0098417F" w:rsidRDefault="00000000">
            <w:pPr>
              <w:spacing w:after="60"/>
            </w:pPr>
            <w:r>
              <w:rPr>
                <w:rFonts w:eastAsia="Arial"/>
                <w:sz w:val="18"/>
              </w:rPr>
              <w:t>The professional titles below are provided solely to explain the author’s expertise. This submission does not represent the views of DHENNE AVOCATS or any client; Paris-Panthéon-Assas University; the Institute of Intellectual Property (IIP), Tokyo; the Japan Patent Office (JPO) or any commissioning authority; LES France; or any other institution.</w:t>
            </w:r>
          </w:p>
          <w:p w14:paraId="66C5134C" w14:textId="77777777" w:rsidR="0098417F" w:rsidRDefault="00000000">
            <w:pPr>
              <w:spacing w:after="60"/>
            </w:pPr>
            <w:r>
              <w:rPr>
                <w:rFonts w:eastAsia="Arial"/>
                <w:sz w:val="18"/>
              </w:rPr>
              <w:t>It relies exclusively on public sources and comparative legal analysis and contains no confidential client or interview information.</w:t>
            </w:r>
          </w:p>
        </w:tc>
      </w:tr>
    </w:tbl>
    <w:p w14:paraId="6C691728" w14:textId="77777777" w:rsidR="0098417F" w:rsidRDefault="0098417F">
      <w:pPr>
        <w:spacing w:after="0"/>
      </w:pPr>
    </w:p>
    <w:p w14:paraId="16AA546B" w14:textId="77777777" w:rsidR="0098417F" w:rsidRDefault="00000000">
      <w:pPr>
        <w:spacing w:before="40" w:after="0"/>
      </w:pPr>
      <w:r>
        <w:rPr>
          <w:rFonts w:eastAsia="Arial"/>
          <w:i/>
          <w:color w:val="6B7280"/>
          <w:sz w:val="18"/>
        </w:rPr>
        <w:t>Prepared for possible public publication with the author’s name.</w:t>
      </w:r>
    </w:p>
    <w:p w14:paraId="1F753C27" w14:textId="77777777" w:rsidR="0098417F" w:rsidRDefault="00000000">
      <w:r>
        <w:br w:type="page"/>
      </w:r>
    </w:p>
    <w:p w14:paraId="6F916F3E" w14:textId="77777777" w:rsidR="0098417F" w:rsidRDefault="00000000">
      <w:pPr>
        <w:keepNext/>
        <w:spacing w:before="160" w:after="80"/>
      </w:pPr>
      <w:r>
        <w:rPr>
          <w:rFonts w:eastAsia="Arial"/>
          <w:b/>
          <w:color w:val="2F75B5"/>
          <w:sz w:val="17"/>
        </w:rPr>
        <w:lastRenderedPageBreak/>
        <w:t>DETAILED CONTRIBUTION</w:t>
      </w:r>
    </w:p>
    <w:p w14:paraId="39659DE0" w14:textId="77777777" w:rsidR="0098417F" w:rsidRDefault="00000000">
      <w:pPr>
        <w:keepNext/>
      </w:pPr>
      <w:r>
        <w:rPr>
          <w:rFonts w:eastAsia="Arial"/>
          <w:b/>
          <w:color w:val="17365D"/>
          <w:sz w:val="28"/>
        </w:rPr>
        <w:t xml:space="preserve">Patent enforcement and SEP/FRAND disputes in third countries: </w:t>
      </w:r>
      <w:r>
        <w:rPr>
          <w:rFonts w:eastAsia="Arial"/>
          <w:b/>
          <w:color w:val="2F75B5"/>
          <w:sz w:val="28"/>
        </w:rPr>
        <w:t>China, cross-border jurisdiction and effective remedies</w:t>
      </w:r>
    </w:p>
    <w:p w14:paraId="0A667A10" w14:textId="77777777" w:rsidR="0098417F" w:rsidRDefault="00000000">
      <w:pPr>
        <w:pStyle w:val="Titre2"/>
      </w:pPr>
      <w:r>
        <w:t>Executive summary</w:t>
      </w:r>
    </w:p>
    <w:p w14:paraId="18656991" w14:textId="77777777" w:rsidR="0098417F" w:rsidRDefault="00000000">
      <w:pPr>
        <w:pStyle w:val="Listepuces"/>
        <w:spacing w:after="60" w:line="252" w:lineRule="auto"/>
        <w:ind w:left="340" w:hanging="142"/>
      </w:pPr>
      <w:r>
        <w:rPr>
          <w:rFonts w:eastAsia="Arial"/>
        </w:rPr>
        <w:t>China should remain a Priority 1 country. The 2027 report should separately identify cross-border judicial measures in SEP/FRAND disputes as a material concern for EU patent owners and the European judicial system.</w:t>
      </w:r>
    </w:p>
    <w:p w14:paraId="058FAA88" w14:textId="77777777" w:rsidR="0098417F" w:rsidRDefault="00000000">
      <w:pPr>
        <w:pStyle w:val="Listepuces"/>
        <w:spacing w:after="60" w:line="252" w:lineRule="auto"/>
        <w:ind w:left="340" w:hanging="142"/>
      </w:pPr>
      <w:r>
        <w:rPr>
          <w:rFonts w:eastAsia="Arial"/>
        </w:rPr>
        <w:t>China’s announced withdrawal of the anti-suit-injunction policy following the DS611 award is important and should be acknowledged. Because the policy was unwritten, compliance must be monitored in practice, including for functionally equivalent measures and transparency of judicial decisions.</w:t>
      </w:r>
    </w:p>
    <w:p w14:paraId="738DE87D" w14:textId="77777777" w:rsidR="0098417F" w:rsidRDefault="00000000">
      <w:pPr>
        <w:pStyle w:val="Listepuces"/>
        <w:spacing w:after="60" w:line="252" w:lineRule="auto"/>
        <w:ind w:left="340" w:hanging="142"/>
      </w:pPr>
      <w:r>
        <w:rPr>
          <w:rFonts w:eastAsia="Arial"/>
        </w:rPr>
        <w:t>DS632 presents a distinct, unresolved concern: the alleged power of Chinese courts to set binding worldwide SEP licensing terms, including for non-Chinese patents, without both parties’ consent. The WTO panel was composed on 13 July 2026; its outcome should not be prejudged.</w:t>
      </w:r>
    </w:p>
    <w:p w14:paraId="261CEF62" w14:textId="77777777" w:rsidR="0098417F" w:rsidRDefault="00000000">
      <w:pPr>
        <w:pStyle w:val="Listepuces"/>
        <w:spacing w:after="60" w:line="252" w:lineRule="auto"/>
        <w:ind w:left="340" w:hanging="142"/>
      </w:pPr>
      <w:r>
        <w:rPr>
          <w:rFonts w:eastAsia="Arial"/>
        </w:rPr>
        <w:t>Global portfolio licensing and judicial assessment of global FRAND terms are not objectionable in themselves. The Commission should distinguish a territorially anchored domestic remedy, accompanied by due process and a genuine election, from a directly binding worldwide determination that displaces competent foreign courts or lacks a sufficient contractual or jurisdictional basis.</w:t>
      </w:r>
    </w:p>
    <w:p w14:paraId="3F1852B3" w14:textId="77777777" w:rsidR="0098417F" w:rsidRDefault="00000000">
      <w:pPr>
        <w:pStyle w:val="Listepuces"/>
        <w:spacing w:after="60" w:line="252" w:lineRule="auto"/>
        <w:ind w:left="340" w:hanging="142"/>
      </w:pPr>
      <w:r>
        <w:rPr>
          <w:rFonts w:eastAsia="Arial"/>
        </w:rPr>
        <w:t>The Commission should monitor jurisdictional safeguards, decision transparency, evidential access, confidentiality protection, royalty methodology, remedies and party conduct. It should promote consensual mediation and arbitration while preserving effective judicial relief against unwilling implementers.</w:t>
      </w:r>
    </w:p>
    <w:p w14:paraId="23297D89" w14:textId="77777777" w:rsidR="0098417F" w:rsidRDefault="00000000">
      <w:pPr>
        <w:pStyle w:val="Titre2"/>
      </w:pPr>
      <w:r>
        <w:t>1. Author and scope of the contribution</w:t>
      </w:r>
    </w:p>
    <w:p w14:paraId="09C1C8D0" w14:textId="77777777" w:rsidR="0098417F" w:rsidRDefault="00000000">
      <w:r>
        <w:rPr>
          <w:rFonts w:eastAsia="Arial"/>
        </w:rPr>
        <w:t>I am a French and European patent litigator, a representative before the Unified Patent Court (UPC), founding partner of DHENNE AVOCATS and an Adjunct Professor at Paris-Panthéon-Assas University. In 2026, I am an Invited Researcher at the Institute of Intellectual Property (IIP), Tokyo, under a programme conducted as part of projects commissioned by the Japan Patent Office. My research concerns injunctive relief and standard-essential patents, comparing Japanese, European and UPC approaches.</w:t>
      </w:r>
    </w:p>
    <w:p w14:paraId="6A419772" w14:textId="77777777" w:rsidR="0098417F" w:rsidRDefault="00000000">
      <w:r>
        <w:rPr>
          <w:rFonts w:eastAsia="Arial"/>
        </w:rPr>
        <w:t>This contribution is made strictly in my personal capacity. It is limited to patents, SEP/FRAND licensing, judicial remedies and the cross-border effects of enforcement measures. It does not purport to assess every aspect of intellectual-property protection in China or any other country, and it does not rely on confidential client matters or non-public research interviews.</w:t>
      </w:r>
    </w:p>
    <w:p w14:paraId="715BDFFB" w14:textId="77777777" w:rsidR="0098417F" w:rsidRDefault="00000000">
      <w:pPr>
        <w:spacing w:after="140"/>
      </w:pPr>
      <w:r>
        <w:rPr>
          <w:rFonts w:eastAsia="Arial"/>
        </w:rPr>
        <w:t>The central recommendation is to maintain China as a Priority 1 country and to give greater analytical visibility to SEP/FRAND enforcement in the next report. The 2025 Third Country Report already identifies China as Priority 1 and records concerns about Chinese courts setting legally binding global FRAND rates at the unilateral request of implementers. [1] [2]</w:t>
      </w:r>
    </w:p>
    <w:p w14:paraId="6CAC8BC7" w14:textId="77777777" w:rsidR="0098417F" w:rsidRDefault="00000000">
      <w:pPr>
        <w:pStyle w:val="Titre2"/>
      </w:pPr>
      <w:r>
        <w:t>2. China should remain Priority 1 for patent and SEP enforcement</w:t>
      </w:r>
    </w:p>
    <w:p w14:paraId="327B4B34" w14:textId="77777777" w:rsidR="0098417F" w:rsidRDefault="00000000">
      <w:r>
        <w:rPr>
          <w:rFonts w:eastAsia="Arial"/>
        </w:rPr>
        <w:t>The concerns addressed here are narrower than the full range of issues set out in SWD(2025) 131. They concern the ability of EU right holders to exercise patent rights granted in Europe, to negotiate portfolio licences without improper judicial pressure and to obtain effective remedies before the courts competent for those rights.</w:t>
      </w:r>
    </w:p>
    <w:p w14:paraId="3F00D1BF" w14:textId="77777777" w:rsidR="0098417F" w:rsidRDefault="00000000">
      <w:r>
        <w:rPr>
          <w:rFonts w:eastAsia="Arial"/>
        </w:rPr>
        <w:t>SEP disputes are inherently transnational. A single product may implement the same standard in many markets; the relevant portfolio may contain patents granted by dozens of jurisdictions; and commercial practice often favours a single global licence. These features create legitimate incentives to avoid duplicative litigation. They also create a risk that the court first seised, or the court exercising leverage over an important market, will affect rights and proceedings outside its territory.</w:t>
      </w:r>
    </w:p>
    <w:p w14:paraId="1D7B6DA5" w14:textId="77777777" w:rsidR="0098417F" w:rsidRDefault="00000000">
      <w:pPr>
        <w:spacing w:after="140"/>
      </w:pPr>
      <w:r>
        <w:rPr>
          <w:rFonts w:eastAsia="Arial"/>
        </w:rPr>
        <w:t>The Commission should therefore assess not only the formal availability of patent remedies in China, but also whether Chinese judicial measures materially restrict the exercise of European patent rights, distort licensing negotiations or displace the role of the UPC and national courts in relation to European patents.</w:t>
      </w:r>
    </w:p>
    <w:p w14:paraId="232A23F1" w14:textId="77777777" w:rsidR="0098417F" w:rsidRDefault="00000000">
      <w:pPr>
        <w:pStyle w:val="Titre2"/>
      </w:pPr>
      <w:r>
        <w:t>3. DS611: a positive development requiring practical verification</w:t>
      </w:r>
    </w:p>
    <w:p w14:paraId="22B19597" w14:textId="77777777" w:rsidR="0098417F" w:rsidRDefault="00000000">
      <w:r>
        <w:rPr>
          <w:rFonts w:eastAsia="Arial"/>
        </w:rPr>
        <w:t xml:space="preserve">In DS611, the European Union challenged an unwritten Chinese policy enabling anti-suit injunctions in SEP litigation. The WTO appeal arbitrators found that the policy was inconsistent with Articles 28.1 and 28.2 of the TRIPS Agreement, each read with Article 1.1, because it frustrated patent owners’ ability to exercise exclusive rights and conclude licensing contracts in other WTO Members’ territories. The underlying panel also found </w:t>
      </w:r>
      <w:r>
        <w:rPr>
          <w:rFonts w:eastAsia="Arial"/>
        </w:rPr>
        <w:lastRenderedPageBreak/>
        <w:t>breaches of the transparency obligations in Article 63.1 and Article 63.3; the Article 63.1 finding was upheld on appeal. [3]</w:t>
      </w:r>
    </w:p>
    <w:p w14:paraId="11C48ECF" w14:textId="77777777" w:rsidR="0098417F" w:rsidRDefault="00000000">
      <w:r>
        <w:rPr>
          <w:rFonts w:eastAsia="Arial"/>
        </w:rPr>
        <w:t>On 1 April 2026, the European Commission announced that China had stated at the WTO that it had withdrawn the policy, referring to a notice of the Supreme People’s Court dated 23 September 2025. The Commission also indicated that it would continue to monitor compliance because the measure had been unwritten. [4]</w:t>
      </w:r>
    </w:p>
    <w:p w14:paraId="3CA76395" w14:textId="77777777" w:rsidR="0098417F" w:rsidRDefault="00000000">
      <w:pPr>
        <w:spacing w:after="60"/>
      </w:pPr>
      <w:r>
        <w:rPr>
          <w:rFonts w:eastAsia="Arial"/>
        </w:rPr>
        <w:t>This development should be expressly acknowledged in the 2027 report. At the same time, formal withdrawal is not the end of the assessment. Monitoring should examine:</w:t>
      </w:r>
    </w:p>
    <w:p w14:paraId="7CA4106F" w14:textId="77777777" w:rsidR="0098417F" w:rsidRDefault="00000000">
      <w:pPr>
        <w:pStyle w:val="Listepuces"/>
        <w:spacing w:after="60" w:line="252" w:lineRule="auto"/>
        <w:ind w:left="340" w:hanging="142"/>
      </w:pPr>
      <w:r>
        <w:rPr>
          <w:rFonts w:eastAsia="Arial"/>
        </w:rPr>
        <w:t>whether Chinese courts continue to issue anti-suit, anti-enforcement or functionally equivalent orders affecting proceedings concerning non-Chinese patents;</w:t>
      </w:r>
    </w:p>
    <w:p w14:paraId="3D177334" w14:textId="77777777" w:rsidR="0098417F" w:rsidRDefault="00000000">
      <w:pPr>
        <w:pStyle w:val="Listepuces"/>
        <w:spacing w:after="60" w:line="252" w:lineRule="auto"/>
        <w:ind w:left="340" w:hanging="142"/>
      </w:pPr>
      <w:r>
        <w:rPr>
          <w:rFonts w:eastAsia="Arial"/>
        </w:rPr>
        <w:t>whether cumulative fines, security requirements, procedural pressure or damages claims produce a comparable deterrent effect;</w:t>
      </w:r>
    </w:p>
    <w:p w14:paraId="47AB558D" w14:textId="77777777" w:rsidR="0098417F" w:rsidRDefault="00000000">
      <w:pPr>
        <w:pStyle w:val="Listepuces"/>
        <w:spacing w:after="60" w:line="252" w:lineRule="auto"/>
        <w:ind w:left="340" w:hanging="142"/>
      </w:pPr>
      <w:r>
        <w:rPr>
          <w:rFonts w:eastAsia="Arial"/>
        </w:rPr>
        <w:t>whether relevant decisions and reconsideration decisions are promptly published with sufficient reasoning; and</w:t>
      </w:r>
    </w:p>
    <w:p w14:paraId="12FDDCE4" w14:textId="77777777" w:rsidR="0098417F" w:rsidRDefault="00000000">
      <w:pPr>
        <w:pStyle w:val="Listepuces"/>
        <w:spacing w:after="60" w:line="252" w:lineRule="auto"/>
        <w:ind w:left="340" w:hanging="142"/>
      </w:pPr>
      <w:r>
        <w:rPr>
          <w:rFonts w:eastAsia="Arial"/>
        </w:rPr>
        <w:t>whether EU right holders can pursue European remedies without retaliation or impairment of their position in Chinese proceedings.</w:t>
      </w:r>
    </w:p>
    <w:p w14:paraId="300FC210" w14:textId="77777777" w:rsidR="0098417F" w:rsidRDefault="00000000">
      <w:pPr>
        <w:spacing w:after="140"/>
      </w:pPr>
      <w:r>
        <w:rPr>
          <w:rFonts w:eastAsia="Arial"/>
        </w:rPr>
        <w:t>The purpose of this monitoring is not to assume non-compliance. It is to use observable judicial practice to verify the implementation of a commitment relating to a measure that was, by definition, not fully captured in a single written rule.</w:t>
      </w:r>
    </w:p>
    <w:p w14:paraId="6794B23B" w14:textId="77777777" w:rsidR="0098417F" w:rsidRDefault="00000000">
      <w:pPr>
        <w:pStyle w:val="Titre2"/>
      </w:pPr>
      <w:r>
        <w:t>4. DS632: worldwide licensing terms remain an unresolved concern</w:t>
      </w:r>
    </w:p>
    <w:p w14:paraId="4E867A24" w14:textId="77777777" w:rsidR="0098417F" w:rsidRDefault="00000000">
      <w:r>
        <w:rPr>
          <w:rFonts w:eastAsia="Arial"/>
        </w:rPr>
        <w:t>DS632 is separate from DS611. The European Union alleges that China empowers its courts to set binding and enforceable worldwide licensing conditions, including royalty rates, for SEP portfolios containing non-Chinese patents without the consent of both parties. The EU requested consultations on 20 January 2025; the panel was established on 19 March 2026 and composed on 13 July 2026. Japan and several other WTO Members reserved third-party rights. [5] [6]</w:t>
      </w:r>
    </w:p>
    <w:p w14:paraId="1808A8D2" w14:textId="77777777" w:rsidR="0098417F" w:rsidRDefault="00000000">
      <w:pPr>
        <w:spacing w:after="60"/>
      </w:pPr>
      <w:r>
        <w:rPr>
          <w:rFonts w:eastAsia="Arial"/>
        </w:rPr>
        <w:t>The outcome of the WTO proceedings should not be prejudged. Nonetheless, the measure as described by the EU raises issues that are directly relevant to the Third Country Report:</w:t>
      </w:r>
    </w:p>
    <w:p w14:paraId="1F414FCA" w14:textId="77777777" w:rsidR="0098417F" w:rsidRDefault="00000000">
      <w:pPr>
        <w:pStyle w:val="Listepuces"/>
        <w:spacing w:after="60" w:line="252" w:lineRule="auto"/>
        <w:ind w:left="340" w:hanging="142"/>
      </w:pPr>
      <w:r>
        <w:rPr>
          <w:rFonts w:eastAsia="Arial"/>
        </w:rPr>
        <w:t>Territoriality and patent independence. A licensing determination may economically encompass foreign patents, while questions of validity and infringement remain governed by the law and courts of the granting state.</w:t>
      </w:r>
    </w:p>
    <w:p w14:paraId="279EC782" w14:textId="77777777" w:rsidR="0098417F" w:rsidRDefault="00000000">
      <w:pPr>
        <w:pStyle w:val="Listepuces"/>
        <w:spacing w:after="60" w:line="252" w:lineRule="auto"/>
        <w:ind w:left="340" w:hanging="142"/>
      </w:pPr>
      <w:r>
        <w:rPr>
          <w:rFonts w:eastAsia="Arial"/>
        </w:rPr>
        <w:t>Freedom to license. A directly binding worldwide determination may materially affect a patent owner’s ability to negotiate and conclude licences for rights granted outside China.</w:t>
      </w:r>
    </w:p>
    <w:p w14:paraId="115898E0" w14:textId="77777777" w:rsidR="0098417F" w:rsidRDefault="00000000">
      <w:pPr>
        <w:pStyle w:val="Listepuces"/>
        <w:spacing w:after="60" w:line="252" w:lineRule="auto"/>
        <w:ind w:left="340" w:hanging="142"/>
      </w:pPr>
      <w:r>
        <w:rPr>
          <w:rFonts w:eastAsia="Arial"/>
        </w:rPr>
        <w:t>Judicial competence and comity. A worldwide order may alter or pre-empt litigation before the UPC or national courts even when it does not formally adjudicate foreign validity or infringement.</w:t>
      </w:r>
    </w:p>
    <w:p w14:paraId="0EED8A44" w14:textId="77777777" w:rsidR="0098417F" w:rsidRDefault="00000000">
      <w:pPr>
        <w:pStyle w:val="Listepuces"/>
        <w:spacing w:after="60" w:line="252" w:lineRule="auto"/>
        <w:ind w:left="340" w:hanging="142"/>
      </w:pPr>
      <w:r>
        <w:rPr>
          <w:rFonts w:eastAsia="Arial"/>
        </w:rPr>
        <w:t>Procedural leverage. Access to the Chinese market, the timing of proceedings and the enforceability of a worldwide decision may create pressure to accept terms before parallel European issues are resolved.</w:t>
      </w:r>
    </w:p>
    <w:p w14:paraId="49DE11B8" w14:textId="77777777" w:rsidR="0098417F" w:rsidRDefault="00000000">
      <w:pPr>
        <w:pStyle w:val="Listepuces"/>
        <w:spacing w:after="60" w:line="252" w:lineRule="auto"/>
        <w:ind w:left="340" w:hanging="142"/>
      </w:pPr>
      <w:r>
        <w:rPr>
          <w:rFonts w:eastAsia="Arial"/>
        </w:rPr>
        <w:t>Transparency and review. The legitimacy of any cross-border determination depends on publication of reasoned decisions, a transparent royalty methodology, access to relevant evidence and effective appellate review.</w:t>
      </w:r>
    </w:p>
    <w:p w14:paraId="675A9077" w14:textId="77777777" w:rsidR="0098417F" w:rsidRDefault="00000000">
      <w:pPr>
        <w:spacing w:after="140"/>
      </w:pPr>
      <w:r>
        <w:rPr>
          <w:rFonts w:eastAsia="Arial"/>
        </w:rPr>
        <w:t>For European users of the patent system, the practical concern is not abstract extraterritoriality. It is that a worldwide order may change settlement incentives, royalty expectations and the utility of European proceedings before the UPC or national courts. That effect should be documented through evidence from both patent holders and implementers.</w:t>
      </w:r>
    </w:p>
    <w:p w14:paraId="18651028" w14:textId="77777777" w:rsidR="0098417F" w:rsidRDefault="00000000">
      <w:pPr>
        <w:pStyle w:val="Titre2"/>
      </w:pPr>
      <w:r>
        <w:t>5. A principled distinction for global FRAND adjudication</w:t>
      </w:r>
    </w:p>
    <w:p w14:paraId="782989B9" w14:textId="77777777" w:rsidR="0098417F" w:rsidRDefault="00000000">
      <w:r>
        <w:rPr>
          <w:rFonts w:eastAsia="Arial"/>
        </w:rPr>
        <w:t>The Commission should avoid framing the issue as a categorical objection to courts considering global FRAND terms. Global portfolio licences are common and can reduce transaction costs, avoid country-by-country litigation and reflect commercial reality. Courts in jurisdictions other than China have also examined the terms of global SEP licences in order to resolve domestic patent disputes. [9]</w:t>
      </w:r>
    </w:p>
    <w:p w14:paraId="6C956B13" w14:textId="77777777" w:rsidR="0098417F" w:rsidRDefault="00000000">
      <w:pPr>
        <w:spacing w:after="60"/>
      </w:pPr>
      <w:r>
        <w:rPr>
          <w:rFonts w:eastAsia="Arial"/>
        </w:rPr>
        <w:t>The more defensible distinction is functional and jurisdiction-neutral. The Commission should examine whether:</w:t>
      </w:r>
    </w:p>
    <w:p w14:paraId="3B39B542" w14:textId="77777777" w:rsidR="0098417F" w:rsidRDefault="00000000">
      <w:pPr>
        <w:pStyle w:val="Listepuces"/>
        <w:spacing w:after="60" w:line="252" w:lineRule="auto"/>
        <w:ind w:left="340" w:hanging="142"/>
      </w:pPr>
      <w:r>
        <w:rPr>
          <w:rFonts w:eastAsia="Arial"/>
        </w:rPr>
        <w:t>there is a substantial domestic patent, contractual or commercial nexus to the dispute;</w:t>
      </w:r>
    </w:p>
    <w:p w14:paraId="2FEB7A79" w14:textId="77777777" w:rsidR="0098417F" w:rsidRDefault="00000000">
      <w:pPr>
        <w:pStyle w:val="Listepuces"/>
        <w:spacing w:after="60" w:line="252" w:lineRule="auto"/>
        <w:ind w:left="340" w:hanging="142"/>
      </w:pPr>
      <w:r>
        <w:rPr>
          <w:rFonts w:eastAsia="Arial"/>
        </w:rPr>
        <w:t>the court is deciding a domestic infringement or injunction claim and uses a global FRAND assessment as part of that domestic adjudication, rather than purporting to determine foreign validity or infringement;</w:t>
      </w:r>
    </w:p>
    <w:p w14:paraId="77C63118" w14:textId="77777777" w:rsidR="0098417F" w:rsidRDefault="00000000">
      <w:pPr>
        <w:pStyle w:val="Listepuces"/>
        <w:spacing w:after="60" w:line="252" w:lineRule="auto"/>
        <w:ind w:left="340" w:hanging="142"/>
      </w:pPr>
      <w:r>
        <w:rPr>
          <w:rFonts w:eastAsia="Arial"/>
        </w:rPr>
        <w:lastRenderedPageBreak/>
        <w:t>the parties have accepted the forum, submitted a contractual claim or otherwise have a sufficient legal basis for the court’s jurisdiction over licensing terms;</w:t>
      </w:r>
    </w:p>
    <w:p w14:paraId="09566E51" w14:textId="77777777" w:rsidR="0098417F" w:rsidRDefault="00000000">
      <w:pPr>
        <w:pStyle w:val="Listepuces"/>
        <w:spacing w:after="60" w:line="252" w:lineRule="auto"/>
        <w:ind w:left="340" w:hanging="142"/>
      </w:pPr>
      <w:r>
        <w:rPr>
          <w:rFonts w:eastAsia="Arial"/>
        </w:rPr>
        <w:t>the implementer retains a genuine and informed election between entering the licence and facing only the lawful consequences attached to the domestic patents;</w:t>
      </w:r>
    </w:p>
    <w:p w14:paraId="53D2D1FF" w14:textId="77777777" w:rsidR="0098417F" w:rsidRDefault="00000000">
      <w:pPr>
        <w:pStyle w:val="Listepuces"/>
        <w:spacing w:after="60" w:line="252" w:lineRule="auto"/>
        <w:ind w:left="340" w:hanging="142"/>
      </w:pPr>
      <w:r>
        <w:rPr>
          <w:rFonts w:eastAsia="Arial"/>
        </w:rPr>
        <w:t>the procedure provides equality of arms, access to evidence, protection of confidential agreements, reasoned methodology and effective review;</w:t>
      </w:r>
    </w:p>
    <w:p w14:paraId="59CF02CB" w14:textId="77777777" w:rsidR="0098417F" w:rsidRDefault="00000000">
      <w:pPr>
        <w:pStyle w:val="Listepuces"/>
        <w:spacing w:after="60" w:line="252" w:lineRule="auto"/>
        <w:ind w:left="340" w:hanging="142"/>
      </w:pPr>
      <w:r>
        <w:rPr>
          <w:rFonts w:eastAsia="Arial"/>
        </w:rPr>
        <w:t>the order can be adjusted when foreign patents are invalidated, held not infringed or materially change in scope; and</w:t>
      </w:r>
    </w:p>
    <w:p w14:paraId="75AB19CF" w14:textId="77777777" w:rsidR="0098417F" w:rsidRDefault="00000000">
      <w:pPr>
        <w:pStyle w:val="Listepuces"/>
        <w:spacing w:after="60" w:line="252" w:lineRule="auto"/>
        <w:ind w:left="340" w:hanging="142"/>
      </w:pPr>
      <w:r>
        <w:rPr>
          <w:rFonts w:eastAsia="Arial"/>
        </w:rPr>
        <w:t>parallel proceedings and the legitimate authority of foreign courts are treated with appropriate comity.</w:t>
      </w:r>
    </w:p>
    <w:p w14:paraId="400A01E6" w14:textId="77777777" w:rsidR="0098417F" w:rsidRDefault="00000000">
      <w:pPr>
        <w:spacing w:after="140"/>
      </w:pPr>
      <w:r>
        <w:rPr>
          <w:rFonts w:eastAsia="Arial"/>
        </w:rPr>
        <w:t>These criteria should apply equally to Chinese, European and other courts. Such even-handedness strengthens the EU position: the concern is not the nationality of the adjudicating court, but the protection of territorial patent systems, procedural fairness and commercially workable licensing.</w:t>
      </w:r>
    </w:p>
    <w:p w14:paraId="5AF7BD61" w14:textId="77777777" w:rsidR="0098417F" w:rsidRDefault="00000000">
      <w:pPr>
        <w:pStyle w:val="Titre2"/>
      </w:pPr>
      <w:r>
        <w:t>6. Effective and balanced remedies</w:t>
      </w:r>
    </w:p>
    <w:p w14:paraId="6D29107F" w14:textId="77777777" w:rsidR="0098417F" w:rsidRDefault="00000000">
      <w:r>
        <w:rPr>
          <w:rFonts w:eastAsia="Arial"/>
        </w:rPr>
        <w:t>Protection of EU SEP holders should not be understood as unconditional support for every requested injunction. A credible framework must address strategic conduct on both sides. SEP holders should present sufficiently clear infringement and licensing information, engage in good-faith negotiations and avoid using procedure merely to increase pressure. Implementers should respond diligently, disclose relevant sales information where appropriate, make serious counteroffers and provide security when continued use would otherwise shift all delay risk to the patent owner.</w:t>
      </w:r>
    </w:p>
    <w:p w14:paraId="5B6AC54E" w14:textId="77777777" w:rsidR="0098417F" w:rsidRDefault="00000000">
      <w:pPr>
        <w:spacing w:after="140"/>
      </w:pPr>
      <w:r>
        <w:rPr>
          <w:rFonts w:eastAsia="Arial"/>
        </w:rPr>
        <w:t>Where an implementer is unwilling after a fair process, the practical availability of an injunction remains important. Damages alone may reward delay and weaken incentives to invest in standardised technology. Conversely, injunctions must remain subject to proportionality, due process and the specific licensing commitment. The Third Country Report should therefore assess the effectiveness of remedies together with the negotiation conduct that precedes them.</w:t>
      </w:r>
    </w:p>
    <w:p w14:paraId="2A203434" w14:textId="77777777" w:rsidR="0098417F" w:rsidRDefault="00000000">
      <w:pPr>
        <w:pStyle w:val="Titre2"/>
      </w:pPr>
      <w:r>
        <w:t>7. Recommendations for the 2027 Third Country Report</w:t>
      </w:r>
    </w:p>
    <w:p w14:paraId="307F73D3" w14:textId="77777777" w:rsidR="0098417F" w:rsidRDefault="00000000">
      <w:pPr>
        <w:spacing w:after="80" w:line="252" w:lineRule="auto"/>
        <w:ind w:left="425" w:hanging="312"/>
      </w:pPr>
      <w:r>
        <w:rPr>
          <w:rFonts w:eastAsia="Arial"/>
          <w:b/>
          <w:color w:val="17365D"/>
        </w:rPr>
        <w:t xml:space="preserve">1. Maintain China as Priority 1: </w:t>
      </w:r>
      <w:r>
        <w:rPr>
          <w:rFonts w:eastAsia="Arial"/>
        </w:rPr>
        <w:t>and add a dedicated subsection on SEP/FRAND enforcement, cross-border judicial measures and worldwide licensing terms.</w:t>
      </w:r>
    </w:p>
    <w:p w14:paraId="248B43B0" w14:textId="77777777" w:rsidR="0098417F" w:rsidRDefault="00000000">
      <w:pPr>
        <w:spacing w:after="80" w:line="252" w:lineRule="auto"/>
        <w:ind w:left="425" w:hanging="312"/>
      </w:pPr>
      <w:r>
        <w:rPr>
          <w:rFonts w:eastAsia="Arial"/>
          <w:b/>
          <w:color w:val="17365D"/>
        </w:rPr>
        <w:t xml:space="preserve">2. Acknowledge DS611 implementation progress: </w:t>
      </w:r>
      <w:r>
        <w:rPr>
          <w:rFonts w:eastAsia="Arial"/>
        </w:rPr>
        <w:t>while monitoring actual decisions, procedural orders, fines and possible functional substitutes for the withdrawn anti-suit-injunction policy.</w:t>
      </w:r>
    </w:p>
    <w:p w14:paraId="0DB08F35" w14:textId="77777777" w:rsidR="0098417F" w:rsidRDefault="00000000">
      <w:pPr>
        <w:spacing w:after="80" w:line="252" w:lineRule="auto"/>
        <w:ind w:left="425" w:hanging="312"/>
      </w:pPr>
      <w:r>
        <w:rPr>
          <w:rFonts w:eastAsia="Arial"/>
          <w:b/>
          <w:color w:val="17365D"/>
        </w:rPr>
        <w:t xml:space="preserve">3. Track DS632 and related litigation: </w:t>
      </w:r>
      <w:r>
        <w:rPr>
          <w:rFonts w:eastAsia="Arial"/>
        </w:rPr>
        <w:t>without prejudging the WTO panel, and explain the consequences of worldwide determinations for EU patents, European licensing and proceedings before the UPC and national courts.</w:t>
      </w:r>
    </w:p>
    <w:p w14:paraId="497296AE" w14:textId="77777777" w:rsidR="0098417F" w:rsidRDefault="00000000">
      <w:pPr>
        <w:spacing w:after="80" w:line="252" w:lineRule="auto"/>
        <w:ind w:left="425" w:hanging="312"/>
      </w:pPr>
      <w:r>
        <w:rPr>
          <w:rFonts w:eastAsia="Arial"/>
          <w:b/>
          <w:color w:val="17365D"/>
        </w:rPr>
        <w:t xml:space="preserve">4. Adopt measurable transparency indicators: </w:t>
      </w:r>
      <w:r>
        <w:rPr>
          <w:rFonts w:eastAsia="Arial"/>
        </w:rPr>
        <w:t>including prompt publication of decisions, complete reasoning, access to cited precedents, disclosure of royalty methodology and effective review.</w:t>
      </w:r>
    </w:p>
    <w:p w14:paraId="4C0B746A" w14:textId="77777777" w:rsidR="0098417F" w:rsidRDefault="00000000">
      <w:pPr>
        <w:spacing w:after="80" w:line="252" w:lineRule="auto"/>
        <w:ind w:left="425" w:hanging="312"/>
      </w:pPr>
      <w:r>
        <w:rPr>
          <w:rFonts w:eastAsia="Arial"/>
          <w:b/>
          <w:color w:val="17365D"/>
        </w:rPr>
        <w:t xml:space="preserve">5. Assess procedural safeguards: </w:t>
      </w:r>
      <w:r>
        <w:rPr>
          <w:rFonts w:eastAsia="Arial"/>
        </w:rPr>
        <w:t>including equality of arms, access to evidence, confidentiality regimes, treatment of comparable licences and mechanisms to adjust a portfolio rate after foreign validity or infringement rulings.</w:t>
      </w:r>
    </w:p>
    <w:p w14:paraId="6E7DF33A" w14:textId="77777777" w:rsidR="0098417F" w:rsidRDefault="00000000">
      <w:pPr>
        <w:spacing w:after="80" w:line="252" w:lineRule="auto"/>
        <w:ind w:left="425" w:hanging="312"/>
      </w:pPr>
      <w:r>
        <w:rPr>
          <w:rFonts w:eastAsia="Arial"/>
          <w:b/>
          <w:color w:val="17365D"/>
        </w:rPr>
        <w:t xml:space="preserve">6. Apply a balanced remedies test: </w:t>
      </w:r>
      <w:r>
        <w:rPr>
          <w:rFonts w:eastAsia="Arial"/>
        </w:rPr>
        <w:t>examining both hold-out and abusive leverage, the conduct of each party, the availability of injunctions against unwilling implementers and proportionality.</w:t>
      </w:r>
    </w:p>
    <w:p w14:paraId="70E8E769" w14:textId="77777777" w:rsidR="0098417F" w:rsidRDefault="00000000">
      <w:pPr>
        <w:spacing w:after="80" w:line="252" w:lineRule="auto"/>
        <w:ind w:left="425" w:hanging="312"/>
      </w:pPr>
      <w:r>
        <w:rPr>
          <w:rFonts w:eastAsia="Arial"/>
          <w:b/>
          <w:color w:val="17365D"/>
        </w:rPr>
        <w:t xml:space="preserve">7. Promote consensual ADR: </w:t>
      </w:r>
      <w:r>
        <w:rPr>
          <w:rFonts w:eastAsia="Arial"/>
        </w:rPr>
        <w:t>including mediation and arbitration for global portfolios where consent is genuine, while preserving access to competent courts when settlement efforts fail.</w:t>
      </w:r>
    </w:p>
    <w:p w14:paraId="3202A433" w14:textId="77777777" w:rsidR="0098417F" w:rsidRDefault="00000000">
      <w:pPr>
        <w:pStyle w:val="Titre2"/>
      </w:pPr>
      <w:r>
        <w:t>8. Japan as a cooperative comparator, not a priority concern</w:t>
      </w:r>
    </w:p>
    <w:p w14:paraId="2A621883" w14:textId="77777777" w:rsidR="0098417F" w:rsidRDefault="00000000">
      <w:r>
        <w:rPr>
          <w:rFonts w:eastAsia="Arial"/>
        </w:rPr>
        <w:t>The issues discussed above do not justify treating Japan as a priority country. Japan’s framework instead offers useful material for comparative cooperation. The JPO revised its Guide to Licensing Negotiations involving Standard Essential Patents in 2022, and METI issued Good Faith Negotiation Guidelines for SEP Licences in the same year. These instruments seek to improve transparency and identify conduct expected from both SEP holders and implementers. [7] [8]</w:t>
      </w:r>
    </w:p>
    <w:p w14:paraId="10532738" w14:textId="77777777" w:rsidR="0098417F" w:rsidRDefault="00000000">
      <w:pPr>
        <w:spacing w:after="140"/>
      </w:pPr>
      <w:r>
        <w:rPr>
          <w:rFonts w:eastAsia="Arial"/>
        </w:rPr>
        <w:t>EU–Japan exchanges can usefully address how good-faith conduct affects remedies, how courts protect confidential licensing evidence, how decisions can be made more accessible and how mediation or arbitration can facilitate portfolio settlements. Japan’s participation as a third party in DS632 also makes it a relevant dialogue partner. This comparative observation is made solely in my personal capacity and does not represent the IIP, JPO, METI or any Japanese institution.</w:t>
      </w:r>
    </w:p>
    <w:p w14:paraId="611449B6" w14:textId="77777777" w:rsidR="0098417F" w:rsidRDefault="00000000">
      <w:pPr>
        <w:pStyle w:val="Titre2"/>
      </w:pPr>
      <w:r>
        <w:lastRenderedPageBreak/>
        <w:t>Conclusion</w:t>
      </w:r>
    </w:p>
    <w:p w14:paraId="625CB810" w14:textId="77777777" w:rsidR="0098417F" w:rsidRDefault="00000000">
      <w:r>
        <w:rPr>
          <w:rFonts w:eastAsia="Arial"/>
        </w:rPr>
        <w:t>The next Third Country Report should preserve China’s Priority 1 status and develop a more precise account of SEP/FRAND enforcement. DS611 demonstrates that cross-border judicial measures can interfere with patent rights granted by other WTO Members; China’s withdrawal announcement is welcome, but practical implementation should be verified. DS632 raises a different and continuing question concerning binding worldwide licensing terms.</w:t>
      </w:r>
    </w:p>
    <w:p w14:paraId="1A0E1BB3" w14:textId="77777777" w:rsidR="0098417F" w:rsidRDefault="00000000">
      <w:pPr>
        <w:spacing w:after="160"/>
      </w:pPr>
      <w:r>
        <w:rPr>
          <w:rFonts w:eastAsia="Arial"/>
        </w:rPr>
        <w:t>A principled EU position should neither reject global portfolio licensing nor endorse compulsory worldwide adjudication without safeguards. It should focus on jurisdictional basis, territorial patent competence, genuine party choice, transparency, review, proportionality and good-faith conduct. That approach would protect European innovation while remaining balanced, credible and applicable across jurisdictions.</w:t>
      </w:r>
    </w:p>
    <w:p w14:paraId="2A496C5C" w14:textId="77777777" w:rsidR="0098417F" w:rsidRDefault="00000000">
      <w:pPr>
        <w:keepNext/>
        <w:spacing w:before="160" w:after="80"/>
      </w:pPr>
      <w:r>
        <w:rPr>
          <w:rFonts w:eastAsia="Arial"/>
          <w:b/>
          <w:color w:val="2F75B5"/>
          <w:sz w:val="17"/>
        </w:rPr>
        <w:t>OFFICIAL SOURCES</w:t>
      </w:r>
    </w:p>
    <w:p w14:paraId="5DCEC017" w14:textId="77777777" w:rsidR="0098417F" w:rsidRDefault="00000000">
      <w:pPr>
        <w:pStyle w:val="Titre1"/>
      </w:pPr>
      <w:r>
        <w:t>Sources cited</w:t>
      </w:r>
    </w:p>
    <w:p w14:paraId="5FAC14CF" w14:textId="77777777" w:rsidR="0098417F" w:rsidRDefault="00000000">
      <w:pPr>
        <w:spacing w:after="60" w:line="240" w:lineRule="auto"/>
        <w:ind w:left="397" w:hanging="397"/>
      </w:pPr>
      <w:r>
        <w:rPr>
          <w:rFonts w:eastAsia="Arial"/>
          <w:sz w:val="17"/>
        </w:rPr>
        <w:t xml:space="preserve">[1] European Commission, </w:t>
      </w:r>
      <w:r>
        <w:rPr>
          <w:rFonts w:eastAsia="Arial"/>
          <w:i/>
          <w:sz w:val="17"/>
        </w:rPr>
        <w:t>Report on the protection and enforcement of intellectual property rights in third countries, SWD(2025) 131 final</w:t>
      </w:r>
      <w:r>
        <w:rPr>
          <w:rFonts w:eastAsia="Arial"/>
          <w:sz w:val="17"/>
        </w:rPr>
        <w:t xml:space="preserve">, 22 May 2025. </w:t>
      </w:r>
      <w:hyperlink r:id="rId8">
        <w:r>
          <w:rPr>
            <w:color w:val="2F75B5"/>
            <w:u w:val="single"/>
          </w:rPr>
          <w:t>Official source</w:t>
        </w:r>
      </w:hyperlink>
    </w:p>
    <w:p w14:paraId="67A73CF6" w14:textId="77777777" w:rsidR="0098417F" w:rsidRDefault="00000000">
      <w:pPr>
        <w:spacing w:after="60" w:line="240" w:lineRule="auto"/>
        <w:ind w:left="397" w:hanging="397"/>
      </w:pPr>
      <w:r>
        <w:rPr>
          <w:rFonts w:eastAsia="Arial"/>
          <w:sz w:val="17"/>
        </w:rPr>
        <w:t xml:space="preserve">[2] European Commission, DG Trade and Economic Security, </w:t>
      </w:r>
      <w:r>
        <w:rPr>
          <w:rFonts w:eastAsia="Arial"/>
          <w:i/>
          <w:sz w:val="17"/>
        </w:rPr>
        <w:t>Targeted consultation on the state of intellectual property in third countries</w:t>
      </w:r>
      <w:r>
        <w:rPr>
          <w:rFonts w:eastAsia="Arial"/>
          <w:sz w:val="17"/>
        </w:rPr>
        <w:t xml:space="preserve">, 11 June 2026. </w:t>
      </w:r>
      <w:hyperlink r:id="rId9">
        <w:r>
          <w:rPr>
            <w:color w:val="2F75B5"/>
            <w:u w:val="single"/>
          </w:rPr>
          <w:t>Official source</w:t>
        </w:r>
      </w:hyperlink>
    </w:p>
    <w:p w14:paraId="15DA9B90" w14:textId="77777777" w:rsidR="0098417F" w:rsidRDefault="00000000">
      <w:pPr>
        <w:spacing w:after="60" w:line="240" w:lineRule="auto"/>
        <w:ind w:left="397" w:hanging="397"/>
      </w:pPr>
      <w:r>
        <w:rPr>
          <w:rFonts w:eastAsia="Arial"/>
          <w:sz w:val="17"/>
        </w:rPr>
        <w:t xml:space="preserve">[3] World Trade Organization, </w:t>
      </w:r>
      <w:r>
        <w:rPr>
          <w:rFonts w:eastAsia="Arial"/>
          <w:i/>
          <w:sz w:val="17"/>
        </w:rPr>
        <w:t>DS611: China – Enforcement of Intellectual Property Rights</w:t>
      </w:r>
      <w:r>
        <w:rPr>
          <w:rFonts w:eastAsia="Arial"/>
          <w:sz w:val="17"/>
        </w:rPr>
        <w:t xml:space="preserve">, case status and findings, updated 2026. </w:t>
      </w:r>
      <w:hyperlink r:id="rId10">
        <w:r>
          <w:rPr>
            <w:color w:val="2F75B5"/>
            <w:u w:val="single"/>
          </w:rPr>
          <w:t>Official source</w:t>
        </w:r>
      </w:hyperlink>
    </w:p>
    <w:p w14:paraId="7E8E8FE4" w14:textId="77777777" w:rsidR="0098417F" w:rsidRDefault="00000000">
      <w:pPr>
        <w:spacing w:after="60" w:line="240" w:lineRule="auto"/>
        <w:ind w:left="397" w:hanging="397"/>
      </w:pPr>
      <w:r>
        <w:rPr>
          <w:rFonts w:eastAsia="Arial"/>
          <w:sz w:val="17"/>
        </w:rPr>
        <w:t xml:space="preserve">[4] European Commission, DG Trade and Economic Security, </w:t>
      </w:r>
      <w:r>
        <w:rPr>
          <w:rFonts w:eastAsia="Arial"/>
          <w:i/>
          <w:sz w:val="17"/>
        </w:rPr>
        <w:t>Following WTO ruling favourable to EU, China announces withdrawal of its anti-suit injunction policy</w:t>
      </w:r>
      <w:r>
        <w:rPr>
          <w:rFonts w:eastAsia="Arial"/>
          <w:sz w:val="17"/>
        </w:rPr>
        <w:t xml:space="preserve">, 1 April 2026. </w:t>
      </w:r>
      <w:hyperlink r:id="rId11">
        <w:r>
          <w:rPr>
            <w:color w:val="2F75B5"/>
            <w:u w:val="single"/>
          </w:rPr>
          <w:t>Official source</w:t>
        </w:r>
      </w:hyperlink>
    </w:p>
    <w:p w14:paraId="3E3320F4" w14:textId="77777777" w:rsidR="0098417F" w:rsidRDefault="00000000">
      <w:pPr>
        <w:spacing w:after="60" w:line="240" w:lineRule="auto"/>
        <w:ind w:left="397" w:hanging="397"/>
      </w:pPr>
      <w:r>
        <w:rPr>
          <w:rFonts w:eastAsia="Arial"/>
          <w:sz w:val="17"/>
        </w:rPr>
        <w:t xml:space="preserve">[5] European Commission, DG Trade and Economic Security, </w:t>
      </w:r>
      <w:r>
        <w:rPr>
          <w:rFonts w:eastAsia="Arial"/>
          <w:i/>
          <w:sz w:val="17"/>
        </w:rPr>
        <w:t>EU requests WTO panel in dispute with China over royalties for EU high-tech sector</w:t>
      </w:r>
      <w:r>
        <w:rPr>
          <w:rFonts w:eastAsia="Arial"/>
          <w:sz w:val="17"/>
        </w:rPr>
        <w:t xml:space="preserve">, 12 February 2026. </w:t>
      </w:r>
      <w:hyperlink r:id="rId12">
        <w:r>
          <w:rPr>
            <w:color w:val="2F75B5"/>
            <w:u w:val="single"/>
          </w:rPr>
          <w:t>Official source</w:t>
        </w:r>
      </w:hyperlink>
    </w:p>
    <w:p w14:paraId="4A840589" w14:textId="77777777" w:rsidR="0098417F" w:rsidRDefault="00000000">
      <w:pPr>
        <w:spacing w:after="60" w:line="240" w:lineRule="auto"/>
        <w:ind w:left="397" w:hanging="397"/>
      </w:pPr>
      <w:r>
        <w:rPr>
          <w:rFonts w:eastAsia="Arial"/>
          <w:sz w:val="17"/>
        </w:rPr>
        <w:t xml:space="preserve">[6] World Trade Organization, </w:t>
      </w:r>
      <w:r>
        <w:rPr>
          <w:rFonts w:eastAsia="Arial"/>
          <w:i/>
          <w:sz w:val="17"/>
        </w:rPr>
        <w:t>DS632: China – Worldwide Licensing Terms for Standard Essential Patents</w:t>
      </w:r>
      <w:r>
        <w:rPr>
          <w:rFonts w:eastAsia="Arial"/>
          <w:sz w:val="17"/>
        </w:rPr>
        <w:t xml:space="preserve">, panel composed 13 July 2026. </w:t>
      </w:r>
      <w:hyperlink r:id="rId13">
        <w:r>
          <w:rPr>
            <w:color w:val="2F75B5"/>
            <w:u w:val="single"/>
          </w:rPr>
          <w:t>Official source</w:t>
        </w:r>
      </w:hyperlink>
    </w:p>
    <w:p w14:paraId="45D52AE4" w14:textId="77777777" w:rsidR="0098417F" w:rsidRDefault="00000000">
      <w:pPr>
        <w:spacing w:after="60" w:line="240" w:lineRule="auto"/>
        <w:ind w:left="397" w:hanging="397"/>
      </w:pPr>
      <w:r>
        <w:rPr>
          <w:rFonts w:eastAsia="Arial"/>
          <w:sz w:val="17"/>
        </w:rPr>
        <w:t xml:space="preserve">[7] Japan Patent Office, </w:t>
      </w:r>
      <w:r>
        <w:rPr>
          <w:rFonts w:eastAsia="Arial"/>
          <w:i/>
          <w:sz w:val="17"/>
        </w:rPr>
        <w:t>Revision of the Guide to Licensing Negotiations involving Standard Essential Patents</w:t>
      </w:r>
      <w:r>
        <w:rPr>
          <w:rFonts w:eastAsia="Arial"/>
          <w:sz w:val="17"/>
        </w:rPr>
        <w:t xml:space="preserve">, 20 July 2022. </w:t>
      </w:r>
      <w:hyperlink r:id="rId14">
        <w:r>
          <w:rPr>
            <w:color w:val="2F75B5"/>
            <w:u w:val="single"/>
          </w:rPr>
          <w:t>Official source</w:t>
        </w:r>
      </w:hyperlink>
    </w:p>
    <w:p w14:paraId="1DDB49AB" w14:textId="77777777" w:rsidR="0098417F" w:rsidRDefault="00000000">
      <w:pPr>
        <w:spacing w:after="60" w:line="240" w:lineRule="auto"/>
        <w:ind w:left="397" w:hanging="397"/>
      </w:pPr>
      <w:r>
        <w:rPr>
          <w:rFonts w:eastAsia="Arial"/>
          <w:sz w:val="17"/>
        </w:rPr>
        <w:t xml:space="preserve">[8] Ministry of Economy, Trade and Industry, Japan, </w:t>
      </w:r>
      <w:r>
        <w:rPr>
          <w:rFonts w:eastAsia="Arial"/>
          <w:i/>
          <w:sz w:val="17"/>
        </w:rPr>
        <w:t>Good Faith Negotiation Guidelines for Standard Essential Patent Licenses</w:t>
      </w:r>
      <w:r>
        <w:rPr>
          <w:rFonts w:eastAsia="Arial"/>
          <w:sz w:val="17"/>
        </w:rPr>
        <w:t xml:space="preserve">, 4 October 2022. </w:t>
      </w:r>
      <w:hyperlink r:id="rId15">
        <w:r>
          <w:rPr>
            <w:color w:val="2F75B5"/>
            <w:u w:val="single"/>
          </w:rPr>
          <w:t>Official source</w:t>
        </w:r>
      </w:hyperlink>
    </w:p>
    <w:p w14:paraId="00A5DAA0" w14:textId="77777777" w:rsidR="0098417F" w:rsidRDefault="00000000">
      <w:pPr>
        <w:spacing w:after="60" w:line="240" w:lineRule="auto"/>
        <w:ind w:left="397" w:hanging="397"/>
      </w:pPr>
      <w:r>
        <w:rPr>
          <w:rFonts w:eastAsia="Arial"/>
          <w:sz w:val="17"/>
        </w:rPr>
        <w:t xml:space="preserve">[9] Supreme Court of the United Kingdom, </w:t>
      </w:r>
      <w:r>
        <w:rPr>
          <w:rFonts w:eastAsia="Arial"/>
          <w:i/>
          <w:sz w:val="17"/>
        </w:rPr>
        <w:t>Unwired Planet International Ltd v Huawei Technologies (UK) Co Ltd [2020] UKSC 37</w:t>
      </w:r>
      <w:r>
        <w:rPr>
          <w:rFonts w:eastAsia="Arial"/>
          <w:sz w:val="17"/>
        </w:rPr>
        <w:t xml:space="preserve">, 26 August 2020. </w:t>
      </w:r>
      <w:hyperlink r:id="rId16">
        <w:r>
          <w:rPr>
            <w:color w:val="2F75B5"/>
            <w:u w:val="single"/>
          </w:rPr>
          <w:t>Official source</w:t>
        </w:r>
      </w:hyperlink>
    </w:p>
    <w:sectPr w:rsidR="0098417F" w:rsidSect="00034616">
      <w:headerReference w:type="default" r:id="rId17"/>
      <w:footerReference w:type="default" r:id="rId18"/>
      <w:pgSz w:w="11906" w:h="16838"/>
      <w:pgMar w:top="992" w:right="1077" w:bottom="907" w:left="107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EAE456" w14:textId="77777777" w:rsidR="001611D6" w:rsidRDefault="001611D6">
      <w:pPr>
        <w:spacing w:after="0" w:line="240" w:lineRule="auto"/>
      </w:pPr>
      <w:r>
        <w:separator/>
      </w:r>
    </w:p>
  </w:endnote>
  <w:endnote w:type="continuationSeparator" w:id="0">
    <w:p w14:paraId="21613983" w14:textId="77777777" w:rsidR="001611D6" w:rsidRDefault="00161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549DB" w14:textId="77777777" w:rsidR="0098417F" w:rsidRDefault="00000000">
    <w:pPr>
      <w:pStyle w:val="Pieddepage"/>
      <w:tabs>
        <w:tab w:val="right" w:pos="9184"/>
      </w:tabs>
      <w:spacing w:before="40" w:line="259" w:lineRule="auto"/>
    </w:pPr>
    <w:r>
      <w:rPr>
        <w:rFonts w:eastAsia="Arial"/>
        <w:color w:val="6B7280"/>
        <w:sz w:val="16"/>
      </w:rPr>
      <w:t>Matthieu Dhenne · 28 August 2026</w:t>
    </w:r>
    <w:r>
      <w:rPr>
        <w:rFonts w:eastAsia="Arial"/>
        <w:sz w:val="16"/>
      </w:rPr>
      <w:tab/>
    </w:r>
    <w:r>
      <w:rPr>
        <w:rFonts w:eastAsia="Arial"/>
        <w:color w:val="6B7280"/>
        <w:sz w:val="16"/>
      </w:rPr>
      <w:t xml:space="preserve">Page </w:t>
    </w:r>
    <w:r>
      <w:rPr>
        <w:rFonts w:eastAsia="Arial"/>
        <w:color w:val="6B7280"/>
        <w:sz w:val="16"/>
      </w:rPr>
      <w:fldChar w:fldCharType="begin"/>
    </w:r>
    <w:r>
      <w:rPr>
        <w:rFonts w:eastAsia="Arial"/>
        <w:color w:val="6B7280"/>
        <w:sz w:val="16"/>
      </w:rPr>
      <w:instrText xml:space="preserve"> PAGE </w:instrText>
    </w:r>
    <w:r w:rsidR="00A60556">
      <w:rPr>
        <w:rFonts w:eastAsia="Arial"/>
        <w:color w:val="6B7280"/>
        <w:sz w:val="16"/>
      </w:rPr>
      <w:fldChar w:fldCharType="separate"/>
    </w:r>
    <w:r w:rsidR="00A60556">
      <w:rPr>
        <w:rFonts w:eastAsia="Arial"/>
        <w:noProof/>
        <w:color w:val="6B7280"/>
        <w:sz w:val="16"/>
      </w:rPr>
      <w:t>1</w:t>
    </w:r>
    <w:r>
      <w:rPr>
        <w:rFonts w:eastAsia="Arial"/>
        <w:color w:val="6B72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9EDA07" w14:textId="77777777" w:rsidR="001611D6" w:rsidRDefault="001611D6">
      <w:pPr>
        <w:spacing w:after="0" w:line="240" w:lineRule="auto"/>
      </w:pPr>
      <w:r>
        <w:separator/>
      </w:r>
    </w:p>
  </w:footnote>
  <w:footnote w:type="continuationSeparator" w:id="0">
    <w:p w14:paraId="25AC259E" w14:textId="77777777" w:rsidR="001611D6" w:rsidRDefault="00161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770581" w14:textId="77777777" w:rsidR="0098417F" w:rsidRDefault="00000000">
    <w:pPr>
      <w:pStyle w:val="En-tte"/>
      <w:pBdr>
        <w:bottom w:val="single" w:sz="6" w:space="1" w:color="AFC6DC"/>
      </w:pBdr>
      <w:spacing w:after="40" w:line="259" w:lineRule="auto"/>
    </w:pPr>
    <w:r>
      <w:rPr>
        <w:rFonts w:eastAsia="Arial"/>
        <w:b/>
        <w:color w:val="2F75B5"/>
        <w:sz w:val="16"/>
      </w:rPr>
      <w:t>PERSONAL-CAPACITY SUBMISSION</w:t>
    </w:r>
    <w:r>
      <w:rPr>
        <w:rFonts w:eastAsia="Arial"/>
        <w:color w:val="6B7280"/>
        <w:sz w:val="16"/>
      </w:rPr>
      <w:t xml:space="preserve">   |   EUROPEAN COMMISSION · DG TRADE AND ECONOMIC SECURITY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179348079">
    <w:abstractNumId w:val="8"/>
  </w:num>
  <w:num w:numId="2" w16cid:durableId="1070467925">
    <w:abstractNumId w:val="6"/>
  </w:num>
  <w:num w:numId="3" w16cid:durableId="1924293933">
    <w:abstractNumId w:val="5"/>
  </w:num>
  <w:num w:numId="4" w16cid:durableId="1310596332">
    <w:abstractNumId w:val="4"/>
  </w:num>
  <w:num w:numId="5" w16cid:durableId="25566808">
    <w:abstractNumId w:val="7"/>
  </w:num>
  <w:num w:numId="6" w16cid:durableId="446587114">
    <w:abstractNumId w:val="3"/>
  </w:num>
  <w:num w:numId="7" w16cid:durableId="1452359309">
    <w:abstractNumId w:val="2"/>
  </w:num>
  <w:num w:numId="8" w16cid:durableId="828059440">
    <w:abstractNumId w:val="1"/>
  </w:num>
  <w:num w:numId="9" w16cid:durableId="20355685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11D6"/>
    <w:rsid w:val="0029639D"/>
    <w:rsid w:val="00326F90"/>
    <w:rsid w:val="0098417F"/>
    <w:rsid w:val="00A60556"/>
    <w:rsid w:val="00AA1D8D"/>
    <w:rsid w:val="00B47730"/>
    <w:rsid w:val="00CB0664"/>
    <w:rsid w:val="00D568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34D5A4"/>
  <w14:defaultImageDpi w14:val="300"/>
  <w15:docId w15:val="{6D2DF6BF-9DBE-6C42-948C-B8BB04C6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1F2937"/>
      <w:sz w:val="20"/>
    </w:rPr>
  </w:style>
  <w:style w:type="paragraph" w:styleId="Titre1">
    <w:name w:val="heading 1"/>
    <w:basedOn w:val="Normal"/>
    <w:next w:val="Normal"/>
    <w:link w:val="Titre1Car"/>
    <w:uiPriority w:val="9"/>
    <w:qFormat/>
    <w:rsid w:val="00FC693F"/>
    <w:pPr>
      <w:keepNext/>
      <w:keepLines/>
      <w:spacing w:before="240" w:line="240" w:lineRule="auto"/>
      <w:outlineLvl w:val="0"/>
    </w:pPr>
    <w:rPr>
      <w:rFonts w:asciiTheme="majorHAnsi" w:eastAsiaTheme="majorEastAsia" w:hAnsiTheme="majorHAnsi" w:cstheme="majorBidi"/>
      <w:b/>
      <w:bCs/>
      <w:color w:val="17365D"/>
      <w:sz w:val="32"/>
      <w:szCs w:val="28"/>
    </w:rPr>
  </w:style>
  <w:style w:type="paragraph" w:styleId="Titre2">
    <w:name w:val="heading 2"/>
    <w:basedOn w:val="Normal"/>
    <w:next w:val="Normal"/>
    <w:link w:val="Titre2Car"/>
    <w:uiPriority w:val="9"/>
    <w:unhideWhenUsed/>
    <w:qFormat/>
    <w:rsid w:val="00FC693F"/>
    <w:pPr>
      <w:keepNext/>
      <w:keepLines/>
      <w:spacing w:before="180" w:after="80" w:line="240" w:lineRule="auto"/>
      <w:outlineLvl w:val="1"/>
    </w:pPr>
    <w:rPr>
      <w:rFonts w:asciiTheme="majorHAnsi" w:eastAsiaTheme="majorEastAsia" w:hAnsiTheme="majorHAnsi" w:cstheme="majorBidi"/>
      <w:b/>
      <w:bCs/>
      <w:color w:val="2F75B5"/>
      <w:sz w:val="25"/>
      <w:szCs w:val="26"/>
    </w:rPr>
  </w:style>
  <w:style w:type="paragraph" w:styleId="Titre3">
    <w:name w:val="heading 3"/>
    <w:basedOn w:val="Normal"/>
    <w:next w:val="Normal"/>
    <w:link w:val="Titre3Car"/>
    <w:uiPriority w:val="9"/>
    <w:unhideWhenUsed/>
    <w:qFormat/>
    <w:rsid w:val="00FC693F"/>
    <w:pPr>
      <w:keepNext/>
      <w:keepLines/>
      <w:spacing w:before="140" w:after="60" w:line="240" w:lineRule="auto"/>
      <w:outlineLvl w:val="2"/>
    </w:pPr>
    <w:rPr>
      <w:rFonts w:asciiTheme="majorHAnsi" w:eastAsiaTheme="majorEastAsia" w:hAnsiTheme="majorHAnsi" w:cstheme="majorBidi"/>
      <w:b/>
      <w:bCs/>
      <w:color w:val="17365D"/>
      <w:sz w:val="2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keepNext/>
      <w:numPr>
        <w:ilvl w:val="1"/>
      </w:numPr>
      <w:spacing w:after="200" w:line="240" w:lineRule="auto"/>
    </w:pPr>
    <w:rPr>
      <w:rFonts w:asciiTheme="majorHAnsi" w:eastAsiaTheme="majorEastAsia" w:hAnsiTheme="majorHAnsi" w:cstheme="majorBidi"/>
      <w:i/>
      <w:iCs/>
      <w:color w:val="6B7280"/>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ransparency/documents-register/api/files/SWD%282025%29131_0/de00000001071954" TargetMode="External"/><Relationship Id="rId13" Type="http://schemas.openxmlformats.org/officeDocument/2006/relationships/hyperlink" Target="https://www.wto.org/english/tratop_e/dispu_e/cases_e/ds632_e.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licy.trade.ec.europa.eu/news/eu-requests-wto-panel-dispute-china-over-royalties-eu-high-tech-sector-2026-02-12_e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upremecourt.uk/cases/uksc-2018-021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trade.ec.europa.eu/news/following-wto-ruling-favourable-eu-china-announces-withdrawal-its-anti-suit-injunction-policy-2026-04-01_en" TargetMode="External"/><Relationship Id="rId5" Type="http://schemas.openxmlformats.org/officeDocument/2006/relationships/webSettings" Target="webSettings.xml"/><Relationship Id="rId15" Type="http://schemas.openxmlformats.org/officeDocument/2006/relationships/hyperlink" Target="https://www.meti.go.jp/english/policy/economy/chizai/gfn_guidelines.html" TargetMode="External"/><Relationship Id="rId10" Type="http://schemas.openxmlformats.org/officeDocument/2006/relationships/hyperlink" Target="https://www.wto.org/english/tratop_e/dispu_e/cases_e/ds611_e.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licy.trade.ec.europa.eu/consultations/targeted-consultation-state-intellectual-property-third-countries_en" TargetMode="External"/><Relationship Id="rId14" Type="http://schemas.openxmlformats.org/officeDocument/2006/relationships/hyperlink" Target="https://www.jpo.go.jp/e/system/laws/rule/guideline/patent/rev-seps-tebi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2738</Words>
  <Characters>15063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submission - 2026 Targeted Consultation on IP in Third Countries</dc:title>
  <dc:subject>Ready-to-upload supporting contribution in the personal capacity of Matthieu Dhenne</dc:subject>
  <dc:creator>Matthieu Dhenne</dc:creator>
  <cp:keywords>European Commission, DG TRADE, China, standard-essential patents, FRAND, injunctions, DS611, DS632, UPC, Japan</cp:keywords>
  <dc:description>Prepared in a personal capacity.</dc:description>
  <cp:lastModifiedBy>Matthieu Dhenne</cp:lastModifiedBy>
  <cp:revision>2</cp:revision>
  <dcterms:created xsi:type="dcterms:W3CDTF">2026-09-08T07:58:00Z</dcterms:created>
  <dcterms:modified xsi:type="dcterms:W3CDTF">2026-09-08T07:58:00Z</dcterms:modified>
  <cp:category/>
</cp:coreProperties>
</file>